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The exalted Naqshbandi tariqah starts from ten Latāif (pl of Latīfā), which translates to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subtlety. According to Imam Rabbani, a human is composed of ten subtleties, five of which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belong to the Command-World (Ālam al-Amr) and five to the Creation-World (Ālam alKhalq). The five from the Command-World are: Qalb, Rūh, Sirr, Khafī and Akhfā; and the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five from the Creation-World are: Nafs, and the four elements (fire, air, water and earth).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Lesson 1: Zikr in Latīfā Qalb (the Heart subtlety)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The Qalb (heart) is located two finger-widths below the left breast in the chest, somewhat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oriented towards the side. When the shaykh teaches this lesson to a new seeker, he places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his right index finger on this place and says “Allah Allah Allah”, while exerting his spiritual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Tawajjuh on his heart (this method is only for men. There is no physical contact with women.)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The method of Zikr is as follows: The saalik after being taught this lesson by his Sheikh begins by saying Allah Allah Allah, in his heart by way of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meditation. The tongue is not used in this method, rather it is recommended to touch it to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the upper side of mouth to keep it silent. The saalik clears his mind of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unnecessary thoughts and should keep busy in this Zikr at all times, even during the work.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Initially, it might be hard to do this Zikr at all times due to external distractions. But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slowly, by practice and by the Shaykh’s blessings, the heart becomes used to this Zikr so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much that no further effort is required to do the Zikr. It becomes automatic like breath.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The Nūr (light) of the heart is shining yellow, as described by the masters of this tariqah.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However, viewing this color is not required, neither is the physical sound of heart’s Zikr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required in this path. The real sign of completion of this lesson is that the heart is cleared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from the lust and love of the worldly desires, and attraction to the real Beloved and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keenness of following the Sunnah and Shariah is achieved. It becomes easier to control the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appetite.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Daily Murāqabāh is necessary in this sacred Path. The seeker should meditate for at least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15 minutes every day, possibly in early morning or whenever suitable. The muraqabah is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done alone and in quite. The seeker should close the eyes, clear the mind of all thoughts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and pray to Allah to take away the useless thoughts.  The seeker then concentrates on the place of Qalb (mentioned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above), and imagines that the heart is proclaiming Allah Allah Allah Allah. This is called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“Wuqūf-i Qalbī” and is the most important part of this noble Path. It means to keep one’s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concentration towards the Qalb, and to keep the Qalb’s concentration to the Being whose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name is “Allah”.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